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0" w:rsidRDefault="009C34F0" w:rsidP="009C34F0">
      <w:pPr>
        <w:pageBreakBefore/>
        <w:suppressAutoHyphens w:val="0"/>
        <w:spacing w:after="62" w:line="282" w:lineRule="exact"/>
        <w:jc w:val="center"/>
        <w:rPr>
          <w:b/>
          <w:bCs/>
          <w:sz w:val="28"/>
          <w:szCs w:val="28"/>
        </w:rPr>
      </w:pPr>
      <w:r>
        <w:rPr>
          <w:rFonts w:eastAsia="TimesNewRoman"/>
          <w:b/>
          <w:bCs/>
          <w:color w:val="000000"/>
          <w:sz w:val="28"/>
          <w:szCs w:val="28"/>
        </w:rPr>
        <w:t>Percorso Formativo “Educatore Animatore</w:t>
      </w:r>
      <w:r>
        <w:rPr>
          <w:b/>
          <w:bCs/>
          <w:color w:val="000000"/>
          <w:sz w:val="28"/>
          <w:szCs w:val="28"/>
        </w:rPr>
        <w:t>” ex L.R.</w:t>
      </w:r>
      <w:r>
        <w:rPr>
          <w:rFonts w:eastAsia="TimesNewRoman"/>
          <w:b/>
          <w:bCs/>
          <w:color w:val="000000"/>
          <w:sz w:val="28"/>
          <w:szCs w:val="28"/>
        </w:rPr>
        <w:t xml:space="preserve"> 30/2005, art. 17 comma 5</w:t>
      </w:r>
    </w:p>
    <w:p w:rsidR="009C34F0" w:rsidRDefault="009C34F0" w:rsidP="009C34F0">
      <w:pPr>
        <w:suppressAutoHyphens w:val="0"/>
        <w:spacing w:after="62" w:line="282" w:lineRule="exact"/>
        <w:jc w:val="center"/>
        <w:rPr>
          <w:b/>
          <w:bCs/>
          <w:sz w:val="28"/>
          <w:szCs w:val="28"/>
        </w:rPr>
      </w:pPr>
    </w:p>
    <w:p w:rsidR="009C34F0" w:rsidRDefault="009C34F0" w:rsidP="009C34F0">
      <w:pPr>
        <w:numPr>
          <w:ilvl w:val="0"/>
          <w:numId w:val="1"/>
        </w:numPr>
        <w:tabs>
          <w:tab w:val="left" w:pos="283"/>
        </w:tabs>
        <w:suppressAutoHyphens w:val="0"/>
        <w:spacing w:after="62" w:line="1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CANALE DI OFFERTA FORMATIVA:</w:t>
      </w:r>
      <w:r>
        <w:rPr>
          <w:sz w:val="20"/>
          <w:szCs w:val="20"/>
        </w:rPr>
        <w:t xml:space="preserve"> </w:t>
      </w:r>
      <w:r>
        <w:rPr>
          <w:rFonts w:eastAsia="Arial"/>
          <w:color w:val="000000"/>
          <w:sz w:val="20"/>
          <w:szCs w:val="20"/>
        </w:rPr>
        <w:t xml:space="preserve">Adulti in azioni di adattabilità, </w:t>
      </w:r>
      <w:proofErr w:type="spellStart"/>
      <w:r>
        <w:rPr>
          <w:rFonts w:eastAsia="Arial"/>
          <w:color w:val="000000"/>
          <w:sz w:val="20"/>
          <w:szCs w:val="20"/>
        </w:rPr>
        <w:t>occupabilità</w:t>
      </w:r>
      <w:proofErr w:type="spellEnd"/>
      <w:r>
        <w:rPr>
          <w:rFonts w:eastAsia="Arial"/>
          <w:color w:val="000000"/>
          <w:sz w:val="20"/>
          <w:szCs w:val="20"/>
        </w:rPr>
        <w:t xml:space="preserve"> e capitale umano</w:t>
      </w:r>
    </w:p>
    <w:p w:rsidR="009C34F0" w:rsidRDefault="009C34F0" w:rsidP="009C34F0">
      <w:pPr>
        <w:numPr>
          <w:ilvl w:val="0"/>
          <w:numId w:val="1"/>
        </w:numPr>
        <w:tabs>
          <w:tab w:val="left" w:pos="283"/>
        </w:tabs>
        <w:suppressAutoHyphens w:val="0"/>
        <w:spacing w:after="62" w:line="10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DURATA MINIMA DEL PERCORSO AL NETTO DI STAGE/WORK EXPERIENCE:</w:t>
      </w:r>
      <w:r>
        <w:rPr>
          <w:sz w:val="20"/>
          <w:szCs w:val="20"/>
        </w:rPr>
        <w:t xml:space="preserve"> 152 ore</w:t>
      </w:r>
    </w:p>
    <w:p w:rsidR="009C34F0" w:rsidRDefault="009C34F0" w:rsidP="009C34F0">
      <w:pPr>
        <w:numPr>
          <w:ilvl w:val="0"/>
          <w:numId w:val="2"/>
        </w:numPr>
        <w:tabs>
          <w:tab w:val="left" w:pos="283"/>
        </w:tabs>
        <w:suppressAutoHyphens w:val="0"/>
        <w:spacing w:after="62" w:line="100" w:lineRule="atLeas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ARTICOLAZIONE MINIMA DEL PERCORSO FORMATIVO</w:t>
      </w:r>
      <w:r>
        <w:rPr>
          <w:sz w:val="20"/>
          <w:szCs w:val="20"/>
        </w:rPr>
        <w:t>: vedi tavola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49"/>
      </w:tblGrid>
      <w:tr w:rsidR="009C34F0" w:rsidTr="001212A1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Durata</w:t>
            </w:r>
          </w:p>
          <w:p w:rsidR="009C34F0" w:rsidRDefault="009C34F0" w:rsidP="001212A1">
            <w:pPr>
              <w:suppressLineNumbers/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Prescrizioni cogenti (Segmenti /UFC) </w:t>
            </w:r>
          </w:p>
          <w:p w:rsidR="009C34F0" w:rsidRDefault="009C34F0" w:rsidP="001212A1">
            <w:pPr>
              <w:suppressLineNumbers/>
              <w:suppressAutoHyphens w:val="0"/>
              <w:snapToGrid w:val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ed indicazioni progettuali di indirizzo (moduli)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line="100" w:lineRule="atLeast"/>
              <w:ind w:left="-17"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Segmento di accoglienza e messa a livello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AutoHyphens w:val="0"/>
              <w:snapToGrid w:val="0"/>
              <w:spacing w:after="0" w:line="200" w:lineRule="atLeast"/>
              <w:ind w:left="-5"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Presentare il corso, creare dinamiche di integrazione fra i partecipanti, anche in ragione della loro prevedibile diversità di esperienze professionali e contesti di provenienza.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tabs>
                <w:tab w:val="left" w:pos="283"/>
              </w:tabs>
              <w:suppressAutoHyphens w:val="0"/>
              <w:autoSpaceDE w:val="0"/>
              <w:snapToGrid w:val="0"/>
              <w:spacing w:line="2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Non ammesso il riconoscimento di credito formativo di frequenza. Non ammesso il ricorso alla </w:t>
            </w:r>
            <w:proofErr w:type="spellStart"/>
            <w:r>
              <w:rPr>
                <w:b/>
                <w:bCs/>
                <w:sz w:val="20"/>
                <w:szCs w:val="20"/>
              </w:rPr>
              <w:t>FaD</w:t>
            </w:r>
            <w:proofErr w:type="spellEnd"/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line="100" w:lineRule="atLeast"/>
              <w:ind w:left="-17" w:right="-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UFC 1. </w:t>
            </w:r>
            <w:r>
              <w:rPr>
                <w:b/>
                <w:bCs/>
                <w:color w:val="000000"/>
                <w:sz w:val="20"/>
                <w:szCs w:val="20"/>
              </w:rPr>
              <w:t>“Esercizio di un’attività lavorativa</w:t>
            </w:r>
            <w:r>
              <w:rPr>
                <w:b/>
                <w:bCs/>
                <w:sz w:val="20"/>
                <w:szCs w:val="20"/>
              </w:rPr>
              <w:t xml:space="preserve"> in forma dipendente o autonoma</w:t>
            </w:r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Acquisire la UC “Esercitare una  attività lavorativa in forma dipendente o autonoma”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line="1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Ammesso il ricorso alla </w:t>
            </w:r>
            <w:proofErr w:type="spellStart"/>
            <w:r>
              <w:rPr>
                <w:b/>
                <w:bCs/>
                <w:sz w:val="20"/>
                <w:szCs w:val="20"/>
              </w:rPr>
              <w:t>FaD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nella misura massima del 50%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3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line="100" w:lineRule="atLeast"/>
              <w:ind w:left="416" w:right="-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Modulo 1.1 “Lavorare in forma dipendente o autonoma</w:t>
            </w:r>
            <w:r>
              <w:rPr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cquisire le conoscenze utili a definire gli aspetti contrattuali della prestazione professionale ed a comprendere gli adempimenti necessari al corretto esercizio di un contratto di lavoro autonomo o parasubordinato.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line="1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--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line="100" w:lineRule="atLeast"/>
              <w:ind w:left="-17" w:right="-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UFC 2.  </w:t>
            </w:r>
            <w:r>
              <w:rPr>
                <w:rFonts w:eastAsia="Garamond"/>
                <w:b/>
                <w:bCs/>
                <w:color w:val="000000"/>
                <w:sz w:val="20"/>
                <w:szCs w:val="20"/>
              </w:rPr>
              <w:t>“L’attività professionale di educatore animatore”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Acquisire la UC “Gestire l’attività professionale di educatore animatore”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tabs>
                <w:tab w:val="left" w:pos="283"/>
              </w:tabs>
              <w:suppressAutoHyphens w:val="0"/>
              <w:autoSpaceDE w:val="0"/>
              <w:snapToGrid w:val="0"/>
              <w:spacing w:line="200" w:lineRule="atLeas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Non ammesso il riconoscimento di credito formativo di frequenza. Non ammesso il ricorso alla </w:t>
            </w:r>
            <w:proofErr w:type="spellStart"/>
            <w:r>
              <w:rPr>
                <w:b/>
                <w:bCs/>
                <w:sz w:val="20"/>
                <w:szCs w:val="20"/>
              </w:rPr>
              <w:t>FaD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line="1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di inquadramento 2.1 “Aspetti normativi ed etici relativi alla professione di educatore-animatore”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relative ad aspetti normativi ed etici connessi all'esercizio della professione di educatore animatore,  al fine di poter avere le basi necessarie all'esercizio dell’attività in oggetto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tabs>
                <w:tab w:val="left" w:pos="283"/>
              </w:tabs>
              <w:suppressAutoHyphens w:val="0"/>
              <w:autoSpaceDE w:val="0"/>
              <w:snapToGrid w:val="0"/>
              <w:spacing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Modulo di cui è consigliata la propedeuticità al restante percorso formativo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line="1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di inquadramento 2.2 “Lo standard di servizio di educatore animatore”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minime relative alle condizioni della prestazione del servizio di animazione ludico-creativa presso spazi gioco e centri ricreativi nella Regione al fine di avere le basi necessarie all'esercizio dell’attività in oggetto.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tabs>
                <w:tab w:val="left" w:pos="283"/>
              </w:tabs>
              <w:suppressAutoHyphens w:val="0"/>
              <w:autoSpaceDE w:val="0"/>
              <w:snapToGrid w:val="0"/>
              <w:spacing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Modulo di cui è consigliata la propedeuticità al restante percorso formativo</w:t>
            </w:r>
          </w:p>
        </w:tc>
      </w:tr>
    </w:tbl>
    <w:p w:rsidR="009C34F0" w:rsidRDefault="009C34F0" w:rsidP="009C34F0">
      <w:pPr>
        <w:pStyle w:val="Corpotesto"/>
      </w:pPr>
    </w:p>
    <w:p w:rsidR="00781901" w:rsidRDefault="00781901" w:rsidP="009C34F0">
      <w:pPr>
        <w:pStyle w:val="Corpotesto"/>
      </w:pPr>
    </w:p>
    <w:p w:rsidR="00781901" w:rsidRDefault="00781901" w:rsidP="009C34F0">
      <w:pPr>
        <w:pStyle w:val="Corpotesto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49"/>
      </w:tblGrid>
      <w:tr w:rsidR="009C34F0" w:rsidTr="001212A1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Durata</w:t>
            </w:r>
          </w:p>
          <w:p w:rsidR="009C34F0" w:rsidRDefault="009C34F0" w:rsidP="001212A1">
            <w:pPr>
              <w:suppressLineNumbers/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Prescrizioni cogenti (Segmenti /UFC) </w:t>
            </w:r>
          </w:p>
          <w:p w:rsidR="009C34F0" w:rsidRDefault="009C34F0" w:rsidP="001212A1">
            <w:pPr>
              <w:suppressLineNumbers/>
              <w:suppressAutoHyphens w:val="0"/>
              <w:snapToGrid w:val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ed indicazioni progettuali di indirizzo (moduli)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ind w:left="-17" w:right="-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Garamond"/>
                <w:b/>
                <w:bCs/>
                <w:sz w:val="20"/>
                <w:szCs w:val="20"/>
              </w:rPr>
              <w:t>UFC 3. “La relazione e la comunicazione con bambini da dodici mesi a sei anni”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Acquisire la UC “Sviluppare e gestire relazioni con bambini da dodici mesi a sei anni individualmente e in piccolo gruppo”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line="100" w:lineRule="atLeast"/>
              <w:ind w:left="1"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 xml:space="preserve">Non ammesso il ricorso alla </w:t>
            </w:r>
            <w:proofErr w:type="spellStart"/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FaD</w:t>
            </w:r>
            <w:proofErr w:type="spellEnd"/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 xml:space="preserve">Modulo di inquadramento 3.1 “Fondamenti psicologici della comunicazione con </w:t>
            </w:r>
            <w:r>
              <w:rPr>
                <w:rStyle w:val="WW-Caratteredellanota2"/>
                <w:rFonts w:eastAsia="Garamond"/>
                <w:i/>
                <w:iCs/>
                <w:sz w:val="20"/>
                <w:szCs w:val="20"/>
              </w:rPr>
              <w:t>bambini da dodici mesi a sei anni”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relative ai  fondamenti psicologici della comunicazione utili a comunicare e gestire una relazione con bambini tra i dodici mesi e i sei anni.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line="1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Modulo di cui è consigliata la propedeuticità al restante percorso formativo.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3.2 “Le dinamiche affettivo-relazionali in bambini tra i dodici mesi e i sei anni”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ed abilità relative alle principali dinamiche affettivo-relazionali in bambini tra i dodici mesi e i sei anni al fine di sviluppare adeguate relazioni  con gli stessi sia individualmente che in piccolo gruppo.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line="1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Previsione di simulazioni e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playing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per almeno 4 ore di attività didattica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rFonts w:eastAsia="Garamond"/>
                <w:b/>
                <w:bCs/>
                <w:sz w:val="20"/>
                <w:szCs w:val="20"/>
              </w:rPr>
              <w:t>UFC 4. “Le relazioni con il contesto di riferimento”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b/>
                <w:bCs/>
                <w:color w:val="000000"/>
                <w:sz w:val="20"/>
                <w:szCs w:val="20"/>
              </w:rPr>
              <w:t>Acquisire la UC “Gestire relazioni con le famiglie dei bambini e gli attori coinvolti nella gestione dei servizi per l’infanzia”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line="100" w:lineRule="atLeast"/>
              <w:ind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 xml:space="preserve">Non ammesso il ricorso alla </w:t>
            </w:r>
            <w:proofErr w:type="spellStart"/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FaD</w:t>
            </w:r>
            <w:proofErr w:type="spellEnd"/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4.1 “La relazione con la famiglia del bambino e con gli altri servizi coinvolti nella cura, nell’educazione e nella ricreazione del bambino”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relative alle dinamiche del sistema famiglia, alle modalità di gestione della relazione con le famiglie dei bambini  al fine di costruire e gestire una relazione basata sulla fiducia con i familiari del bambino.</w:t>
            </w:r>
          </w:p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relative alle modalità di collaborazione con altri servizi della rete dei servizi per l’infanzia, alle tipologie e al funzionamento dei servizi ludici, socio-assistenziali ed educativi.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line="1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--</w:t>
            </w:r>
          </w:p>
        </w:tc>
      </w:tr>
    </w:tbl>
    <w:p w:rsidR="009C34F0" w:rsidRDefault="009C34F0" w:rsidP="009C34F0">
      <w:pPr>
        <w:tabs>
          <w:tab w:val="left" w:pos="283"/>
        </w:tabs>
        <w:suppressAutoHyphens w:val="0"/>
        <w:spacing w:line="282" w:lineRule="exact"/>
      </w:pPr>
    </w:p>
    <w:p w:rsidR="009C34F0" w:rsidRDefault="009C34F0" w:rsidP="009C34F0">
      <w:pPr>
        <w:pStyle w:val="Corpotesto"/>
        <w:spacing w:after="0" w:line="282" w:lineRule="exact"/>
        <w:rPr>
          <w:sz w:val="20"/>
          <w:szCs w:val="20"/>
        </w:rPr>
      </w:pPr>
    </w:p>
    <w:p w:rsidR="009C34F0" w:rsidRDefault="009C34F0" w:rsidP="009C34F0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49"/>
      </w:tblGrid>
      <w:tr w:rsidR="009C34F0" w:rsidTr="001212A1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pageBreakBefore/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Durata</w:t>
            </w:r>
          </w:p>
          <w:p w:rsidR="009C34F0" w:rsidRDefault="009C34F0" w:rsidP="001212A1">
            <w:pPr>
              <w:suppressLineNumbers/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Prescrizioni cogenti (Segmenti /UFC) </w:t>
            </w:r>
          </w:p>
          <w:p w:rsidR="009C34F0" w:rsidRDefault="009C34F0" w:rsidP="001212A1">
            <w:pPr>
              <w:suppressLineNumbers/>
              <w:suppressAutoHyphens w:val="0"/>
              <w:snapToGrid w:val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ed indicazioni progettuali di indirizzo (moduli)</w:t>
            </w:r>
          </w:p>
        </w:tc>
      </w:tr>
      <w:tr w:rsidR="009C34F0" w:rsidTr="001212A1">
        <w:trPr>
          <w:trHeight w:val="1685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ind w:left="-17" w:right="-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Garamond"/>
                <w:b/>
                <w:bCs/>
                <w:sz w:val="20"/>
                <w:szCs w:val="20"/>
              </w:rPr>
              <w:t>UFC 5. “Progettazione di  interventi di animazione ludico-ricreativa”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Acquisire la UC “Progettare interventi di animazione ludico-ricreativa”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 xml:space="preserve">Ammesso il riconoscimento di credito formativo di frequenza, restando obbligatoria la realizzazione del project work. Ammesso il ricorso alla </w:t>
            </w:r>
            <w:proofErr w:type="spellStart"/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FaD</w:t>
            </w:r>
            <w:proofErr w:type="spellEnd"/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 xml:space="preserve"> nella misura massima del 60% della durata della UFC, restando l'obbligo della realizzazione di esercitazione pratica.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rFonts w:eastAsia="Garamond"/>
                <w:i/>
                <w:iCs/>
                <w:sz w:val="20"/>
                <w:szCs w:val="20"/>
              </w:rPr>
              <w:t>Modulo  5.1 “I bisogni ricreativi del bambino ed il contesto di intervento”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utili ad individuare i fabbisogni ricreativi dei bambini fra i dodici mesi e i sei anni e le caratteristiche del contesto di intervento, in particolare: elementi di psicologia dell’età evolutiva; sviluppo psicomotorio e caratteristiche fisiche del bambino; attività tipo mirate a bambini tra i dodici mesi e i sei anni, articolate per aree di sviluppo (psicomotorio, comunicativo-linguistico, cognitivo); tipologia e caratteristiche degli spazi gioco.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after="0"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--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5.2 “Modalità e tecniche di progettazione di un intervento di animazione ludico-ricreativa in spazi gioco e centri ricreativi”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e le abilità relative a tecniche di progettazione al fine di predisporre/elaborare interventi di animazione ludico-ricreativa a partire dai bisogni individuati, dalle risorse (strumentali/materiali) e dagli spazi disponibili.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after="0" w:line="200" w:lineRule="atLeast"/>
              <w:jc w:val="both"/>
            </w:pP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Project work : Progettazione di un intervento di animazione ludico-ricreativa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Applicare su casi reali o didattici le conoscenze e gli schemi di azione introdotti nelle unità precedenti, in modo da definire un progetto di intervento di animazione ludico-ricreativa in spazi gioco e centri ricreativi.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rPr>
                <w:rFonts w:eastAsia="Calibri-Bold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--</w:t>
            </w:r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 xml:space="preserve">Non ammesso il ricorso alla </w:t>
            </w:r>
            <w:proofErr w:type="spellStart"/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>FaD</w:t>
            </w:r>
            <w:proofErr w:type="spellEnd"/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9C34F0" w:rsidRDefault="009C34F0" w:rsidP="009C34F0">
      <w:pPr>
        <w:pStyle w:val="Corpo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49"/>
      </w:tblGrid>
      <w:tr w:rsidR="009C34F0" w:rsidTr="001212A1">
        <w:trPr>
          <w:tblHeader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pageBreakBefore/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Durata</w:t>
            </w:r>
          </w:p>
          <w:p w:rsidR="009C34F0" w:rsidRDefault="009C34F0" w:rsidP="001212A1">
            <w:pPr>
              <w:suppressLineNumbers/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Prescrizioni cogenti (Segmenti /UFC) </w:t>
            </w:r>
          </w:p>
          <w:p w:rsidR="009C34F0" w:rsidRDefault="009C34F0" w:rsidP="001212A1">
            <w:pPr>
              <w:suppressLineNumbers/>
              <w:suppressAutoHyphens w:val="0"/>
              <w:snapToGrid w:val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ed indicazioni progettuali di indirizzo (moduli)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ind w:left="-17" w:right="-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Garamond"/>
                <w:b/>
                <w:bCs/>
                <w:sz w:val="20"/>
                <w:szCs w:val="20"/>
              </w:rPr>
              <w:t>UFC 6. “La realizzazione delle attività di animazione ludico-ricreative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Acquisire la UC “Realizzare interventi di animazione di carattere educativo, espressivo, ludico”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Non ammesso il riconoscimento di credito formativo di frequenza.  Non ammesso il ricorso alla FAD.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di inquadramento 6.1 “Le attività ludiche, creative, espressive per bambini tra i dodici mesi e i sei anni”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 xml:space="preserve">Acquisire le conoscenze relative alle diverse attività ludico-didattiche (tipologie, obiettivi, modalità di conduzione e programmazione) in funzione dell’età e del livello psico-fisico raggiunto dai bambini fra i 12 mesi e i 6 anni.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after="0"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--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 xml:space="preserve">Modulo 6.2  “Tecniche di animazione ludica, creativa espressiva per bambini in età compresa fra </w:t>
            </w:r>
            <w:r>
              <w:rPr>
                <w:rStyle w:val="WW-Caratteredellanota2"/>
                <w:i/>
                <w:iCs/>
                <w:sz w:val="20"/>
                <w:szCs w:val="20"/>
              </w:rPr>
              <w:t>i dodici mesi e i sei anni”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e le abilità relative alle principali tecniche di animazione al fine di favorire, attraverso le attività ludiche la socializzazione, la creatività, l’autonomia, l’apertura e la curiosità dei bambini accolti negli spazi gioco/centri ricreativi.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after="0"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Previsione di simulazioni e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playing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per almeno 4 ore di attività didattica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ind w:left="-17" w:right="-5"/>
              <w:jc w:val="both"/>
              <w:rPr>
                <w:rStyle w:val="WW-Caratteredellanota111111111111121111111111111"/>
                <w:rFonts w:eastAsia="Garamond-BoldItalic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WW-Caratteredellanota111111111111121111111111111"/>
                <w:rFonts w:eastAsia="Garamond"/>
                <w:b/>
                <w:bCs/>
                <w:color w:val="000000"/>
                <w:sz w:val="20"/>
                <w:szCs w:val="20"/>
              </w:rPr>
              <w:t>UFC 7. “</w:t>
            </w:r>
            <w:r>
              <w:rPr>
                <w:rStyle w:val="WW-Caratteredellanota111111111111121111111111111"/>
                <w:rFonts w:eastAsia="Garamond"/>
                <w:b/>
                <w:bCs/>
                <w:sz w:val="20"/>
                <w:szCs w:val="20"/>
              </w:rPr>
              <w:t>La sicurezza</w:t>
            </w:r>
            <w:r>
              <w:rPr>
                <w:rStyle w:val="WW-Caratteredellanota111111111111121111111111111"/>
                <w:rFonts w:eastAsia="Garamond"/>
                <w:b/>
                <w:bCs/>
                <w:color w:val="000000"/>
                <w:sz w:val="20"/>
                <w:szCs w:val="20"/>
              </w:rPr>
              <w:t xml:space="preserve"> e l’igiene degli ambienti”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WW-Caratteredellanota111111111111121111111111111"/>
                <w:rFonts w:eastAsia="Garamond-BoldItalic"/>
                <w:b/>
                <w:bCs/>
                <w:color w:val="000000"/>
                <w:sz w:val="20"/>
                <w:szCs w:val="20"/>
              </w:rPr>
              <w:t>Acquisire la UC “Lavorare in sicurezza, gestire il primo soccorso e garantire igiene degli ambienti”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>Non ammesso il ricorso alla FAD.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 7.1 “La cura e la sicurezza dei bambini”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Acquisire le conoscenze e le abilità relative agli elementi basilari di pronto soccorso pediatrico e relative al sistema territoriale di soccorso al fine di saper organizzare  un intervento con le autorità competenti.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rPr>
                <w:rFonts w:eastAsia="Calibri-Bold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>--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7.2  “Igiene e sicurezza degli ambienti”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4"/>
              </w:num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 xml:space="preserve">Acquisire le conoscenze e le abilità relative a elementi di </w:t>
            </w:r>
            <w:proofErr w:type="spellStart"/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 xml:space="preserve"> sicurezza ed igiene i spazi, arredi e materiali in cui sono presenti bambini, in conformità alle vigenti normative.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2111111"/>
              <w:suppressAutoHyphens w:val="0"/>
              <w:snapToGrid w:val="0"/>
              <w:spacing w:after="0" w:line="200" w:lineRule="atLeast"/>
              <w:rPr>
                <w:rFonts w:eastAsia="Calibri-Bold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>--</w:t>
            </w:r>
          </w:p>
        </w:tc>
      </w:tr>
    </w:tbl>
    <w:p w:rsidR="009C34F0" w:rsidRDefault="009C34F0" w:rsidP="009C34F0">
      <w:pPr>
        <w:spacing w:line="282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49"/>
      </w:tblGrid>
      <w:tr w:rsidR="009C34F0" w:rsidTr="001212A1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pageBreakBefore/>
              <w:suppressLineNumbers/>
              <w:suppressAutoHyphens w:val="0"/>
              <w:snapToGrid w:val="0"/>
              <w:spacing w:after="0"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Durata</w:t>
            </w:r>
          </w:p>
          <w:p w:rsidR="009C34F0" w:rsidRDefault="009C34F0" w:rsidP="001212A1">
            <w:pPr>
              <w:suppressLineNumbers/>
              <w:suppressAutoHyphens w:val="0"/>
              <w:spacing w:after="0"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</w:t>
            </w:r>
          </w:p>
        </w:tc>
        <w:tc>
          <w:tcPr>
            <w:tcW w:w="4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Prescrizioni cogenti (Segmenti /UFC) </w:t>
            </w:r>
          </w:p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ed indicazioni progettuali di indirizzo (moduli)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pStyle w:val="WW-Contenutotabella11111111"/>
              <w:tabs>
                <w:tab w:val="left" w:pos="266"/>
                <w:tab w:val="left" w:pos="2942"/>
              </w:tabs>
              <w:suppressAutoHyphens w:val="0"/>
              <w:snapToGrid w:val="0"/>
              <w:spacing w:after="0" w:line="200" w:lineRule="atLeast"/>
              <w:ind w:left="-17" w:right="-5"/>
              <w:jc w:val="both"/>
              <w:rPr>
                <w:rStyle w:val="WW-Caratteredellanota2"/>
                <w:rFonts w:eastAsia="Garamond-BoldItalic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Rimandonotaapidipagina1"/>
                <w:b/>
                <w:bCs/>
                <w:sz w:val="20"/>
                <w:szCs w:val="20"/>
              </w:rPr>
              <w:t>UFC 8. “La valutazione della qualità del servizio di  animazione ludico ricreativa”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302"/>
              </w:tabs>
              <w:suppressAutoHyphens w:val="0"/>
              <w:autoSpaceDE w:val="0"/>
              <w:snapToGrid w:val="0"/>
              <w:spacing w:after="0" w:line="200" w:lineRule="atLeast"/>
              <w:ind w:left="19" w:right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b/>
                <w:bCs/>
                <w:color w:val="000000"/>
                <w:sz w:val="20"/>
                <w:szCs w:val="20"/>
              </w:rPr>
              <w:t xml:space="preserve">Acquisire la UC  “Valutare la qualità dei servizi offerti  - Educatore animatore”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jc w:val="right"/>
              <w:rPr>
                <w:rFonts w:eastAsia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b/>
                <w:bCs/>
                <w:color w:val="000000"/>
                <w:sz w:val="20"/>
                <w:szCs w:val="20"/>
              </w:rPr>
              <w:t xml:space="preserve">Non ammesso il riconoscimento di credito formativo di frequenza. </w:t>
            </w:r>
            <w:r>
              <w:rPr>
                <w:rStyle w:val="WW-Caratteredellanota2"/>
                <w:rFonts w:eastAsia="Calibri-Bold"/>
                <w:b/>
                <w:bCs/>
                <w:color w:val="000000"/>
                <w:sz w:val="20"/>
                <w:szCs w:val="20"/>
              </w:rPr>
              <w:t>Non ammesso il ricorso alla FAD.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Modulo 8.1 “Valutazione della qualità degli interventi erogati: aspetti di gestione e di valutazione della qualità nell'erogazione dei servizi di animazione in spazi gioco e centri ricreativi”.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 xml:space="preserve">Acquisire le conoscenze in materia di monitoraggio e valutazione della qualità del  servizio erogato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3"/>
              </w:tabs>
              <w:suppressAutoHyphens w:val="0"/>
              <w:autoSpaceDE w:val="0"/>
              <w:snapToGrid w:val="0"/>
              <w:spacing w:after="0" w:line="200" w:lineRule="atLeast"/>
              <w:jc w:val="both"/>
            </w:pPr>
            <w:r>
              <w:rPr>
                <w:i/>
                <w:iCs/>
                <w:sz w:val="20"/>
                <w:szCs w:val="20"/>
              </w:rPr>
              <w:t>--</w:t>
            </w:r>
          </w:p>
        </w:tc>
      </w:tr>
      <w:tr w:rsidR="009C34F0" w:rsidTr="001212A1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WW-Caratteredellanota2"/>
                <w:i/>
                <w:iCs/>
                <w:sz w:val="20"/>
                <w:szCs w:val="20"/>
              </w:rPr>
              <w:t>Project work: Definizione di un  sistema di valutazione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numPr>
                <w:ilvl w:val="0"/>
                <w:numId w:val="5"/>
              </w:numPr>
              <w:suppressLineNumbers/>
              <w:tabs>
                <w:tab w:val="left" w:pos="416"/>
              </w:tabs>
              <w:suppressAutoHyphens w:val="0"/>
              <w:snapToGrid w:val="0"/>
              <w:spacing w:after="0" w:line="2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Style w:val="WW-Caratteredellanota2"/>
                <w:rFonts w:eastAsia="Garamond-BoldItalic"/>
                <w:i/>
                <w:iCs/>
                <w:color w:val="000000"/>
                <w:sz w:val="20"/>
                <w:szCs w:val="20"/>
              </w:rPr>
              <w:t>Applicare su casi reali o didattici le conoscenze e gli schemi di azione introdotti modulo 8.1, in modo da definire le caratteristiche essenziali di un sistema di valutazione della qualità del servizio erogato.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suppressAutoHyphens w:val="0"/>
              <w:snapToGrid w:val="0"/>
              <w:spacing w:after="0" w:line="200" w:lineRule="atLeast"/>
              <w:rPr>
                <w:rFonts w:eastAsia="Calibri-Bold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4F0" w:rsidRDefault="009C34F0" w:rsidP="001212A1">
            <w:pPr>
              <w:suppressLineNumbers/>
              <w:tabs>
                <w:tab w:val="left" w:pos="284"/>
              </w:tabs>
              <w:suppressAutoHyphens w:val="0"/>
              <w:autoSpaceDE w:val="0"/>
              <w:snapToGrid w:val="0"/>
              <w:spacing w:after="0" w:line="200" w:lineRule="atLeast"/>
              <w:ind w:left="1" w:right="19"/>
              <w:jc w:val="both"/>
            </w:pPr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 xml:space="preserve">Non ammesso il ricorso alla </w:t>
            </w:r>
            <w:proofErr w:type="spellStart"/>
            <w:r>
              <w:rPr>
                <w:rFonts w:eastAsia="Calibri-Bold"/>
                <w:i/>
                <w:iCs/>
                <w:color w:val="000000"/>
                <w:sz w:val="20"/>
                <w:szCs w:val="20"/>
              </w:rPr>
              <w:t>FaD</w:t>
            </w:r>
            <w:proofErr w:type="spellEnd"/>
          </w:p>
        </w:tc>
      </w:tr>
    </w:tbl>
    <w:p w:rsidR="009C34F0" w:rsidRDefault="009C34F0" w:rsidP="009C34F0">
      <w:pPr>
        <w:tabs>
          <w:tab w:val="left" w:pos="283"/>
        </w:tabs>
        <w:spacing w:line="282" w:lineRule="exact"/>
      </w:pPr>
    </w:p>
    <w:p w:rsidR="009C34F0" w:rsidRDefault="009C34F0" w:rsidP="009C34F0">
      <w:pPr>
        <w:suppressAutoHyphens w:val="0"/>
        <w:spacing w:after="0" w:line="20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ULTERIORI VINCOLI COGENTI DI PERCORSO</w:t>
      </w:r>
    </w:p>
    <w:p w:rsidR="009C34F0" w:rsidRDefault="009C34F0" w:rsidP="009C34F0">
      <w:pPr>
        <w:numPr>
          <w:ilvl w:val="0"/>
          <w:numId w:val="4"/>
        </w:numPr>
        <w:tabs>
          <w:tab w:val="left" w:pos="283"/>
        </w:tabs>
        <w:spacing w:after="0" w:line="200" w:lineRule="atLeast"/>
        <w:ind w:left="364" w:hanging="283"/>
        <w:rPr>
          <w:sz w:val="20"/>
          <w:szCs w:val="20"/>
        </w:rPr>
      </w:pPr>
      <w:r>
        <w:rPr>
          <w:sz w:val="20"/>
          <w:szCs w:val="20"/>
        </w:rPr>
        <w:t>Diploma di scuola secondaria superiore. Non è ammesso il riconoscimento del credito di ammissione.</w:t>
      </w:r>
    </w:p>
    <w:p w:rsidR="009C34F0" w:rsidRDefault="009C34F0" w:rsidP="009C34F0">
      <w:pPr>
        <w:numPr>
          <w:ilvl w:val="0"/>
          <w:numId w:val="4"/>
        </w:numPr>
        <w:tabs>
          <w:tab w:val="left" w:pos="283"/>
        </w:tabs>
        <w:spacing w:after="0" w:line="200" w:lineRule="atLeast"/>
        <w:ind w:left="364" w:hanging="283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Test di selezione in ingresso, rivolto ad accertare il possesso di adeguati requisiti </w:t>
      </w:r>
      <w:proofErr w:type="spellStart"/>
      <w:r>
        <w:rPr>
          <w:sz w:val="20"/>
          <w:szCs w:val="20"/>
        </w:rPr>
        <w:t>psico</w:t>
      </w:r>
      <w:proofErr w:type="spellEnd"/>
      <w:r>
        <w:rPr>
          <w:sz w:val="20"/>
          <w:szCs w:val="20"/>
        </w:rPr>
        <w:t>-attitudinali.</w:t>
      </w:r>
    </w:p>
    <w:p w:rsidR="00780BDD" w:rsidRDefault="00780BDD"/>
    <w:sectPr w:rsidR="00780BDD" w:rsidSect="009C34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191"/>
        </w:tabs>
        <w:ind w:left="1363" w:hanging="394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1647"/>
        </w:tabs>
        <w:ind w:left="164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1930"/>
        </w:tabs>
        <w:ind w:left="193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2214"/>
        </w:tabs>
        <w:ind w:left="221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2497"/>
        </w:tabs>
        <w:ind w:left="249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2781"/>
        </w:tabs>
        <w:ind w:left="278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3064"/>
        </w:tabs>
        <w:ind w:left="306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3348"/>
        </w:tabs>
        <w:ind w:left="334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3631"/>
        </w:tabs>
        <w:ind w:left="3631" w:hanging="283"/>
      </w:pPr>
      <w:rPr>
        <w:rFonts w:ascii="Symbol" w:hAnsi="Symbol" w:cs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9"/>
    <w:rsid w:val="00120A09"/>
    <w:rsid w:val="00780BDD"/>
    <w:rsid w:val="00781901"/>
    <w:rsid w:val="009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F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dellanota2">
    <w:name w:val="WW-Carattere della nota2"/>
    <w:rsid w:val="009C34F0"/>
    <w:rPr>
      <w:vertAlign w:val="superscript"/>
    </w:rPr>
  </w:style>
  <w:style w:type="character" w:customStyle="1" w:styleId="WW-Caratteredellanota111111111111121111111111111">
    <w:name w:val="WW-Carattere della nota111111111111121111111111111"/>
    <w:rsid w:val="009C34F0"/>
    <w:rPr>
      <w:vertAlign w:val="superscript"/>
    </w:rPr>
  </w:style>
  <w:style w:type="character" w:customStyle="1" w:styleId="Rimandonotaapidipagina1">
    <w:name w:val="Rimando nota a piè di pagina1"/>
    <w:rsid w:val="009C34F0"/>
    <w:rPr>
      <w:vertAlign w:val="superscript"/>
    </w:rPr>
  </w:style>
  <w:style w:type="paragraph" w:styleId="Corpotesto">
    <w:name w:val="Body Text"/>
    <w:basedOn w:val="Normale"/>
    <w:link w:val="CorpotestoCarattere"/>
    <w:rsid w:val="009C34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34F0"/>
    <w:rPr>
      <w:rFonts w:ascii="Calibri" w:eastAsia="Times New Roman" w:hAnsi="Calibri" w:cs="Calibri"/>
      <w:lang w:eastAsia="zh-CN"/>
    </w:rPr>
  </w:style>
  <w:style w:type="paragraph" w:customStyle="1" w:styleId="WW-Contenutotabella11111111">
    <w:name w:val="WW-Contenuto tabella11111111"/>
    <w:basedOn w:val="Corpotesto"/>
    <w:rsid w:val="009C34F0"/>
    <w:pPr>
      <w:suppressLineNumbers/>
    </w:pPr>
  </w:style>
  <w:style w:type="paragraph" w:customStyle="1" w:styleId="WW-Contenutotabella112111111">
    <w:name w:val="WW-Contenuto tabella112111111"/>
    <w:basedOn w:val="Corpotesto"/>
    <w:rsid w:val="009C34F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F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dellanota2">
    <w:name w:val="WW-Carattere della nota2"/>
    <w:rsid w:val="009C34F0"/>
    <w:rPr>
      <w:vertAlign w:val="superscript"/>
    </w:rPr>
  </w:style>
  <w:style w:type="character" w:customStyle="1" w:styleId="WW-Caratteredellanota111111111111121111111111111">
    <w:name w:val="WW-Carattere della nota111111111111121111111111111"/>
    <w:rsid w:val="009C34F0"/>
    <w:rPr>
      <w:vertAlign w:val="superscript"/>
    </w:rPr>
  </w:style>
  <w:style w:type="character" w:customStyle="1" w:styleId="Rimandonotaapidipagina1">
    <w:name w:val="Rimando nota a piè di pagina1"/>
    <w:rsid w:val="009C34F0"/>
    <w:rPr>
      <w:vertAlign w:val="superscript"/>
    </w:rPr>
  </w:style>
  <w:style w:type="paragraph" w:styleId="Corpotesto">
    <w:name w:val="Body Text"/>
    <w:basedOn w:val="Normale"/>
    <w:link w:val="CorpotestoCarattere"/>
    <w:rsid w:val="009C34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34F0"/>
    <w:rPr>
      <w:rFonts w:ascii="Calibri" w:eastAsia="Times New Roman" w:hAnsi="Calibri" w:cs="Calibri"/>
      <w:lang w:eastAsia="zh-CN"/>
    </w:rPr>
  </w:style>
  <w:style w:type="paragraph" w:customStyle="1" w:styleId="WW-Contenutotabella11111111">
    <w:name w:val="WW-Contenuto tabella11111111"/>
    <w:basedOn w:val="Corpotesto"/>
    <w:rsid w:val="009C34F0"/>
    <w:pPr>
      <w:suppressLineNumbers/>
    </w:pPr>
  </w:style>
  <w:style w:type="paragraph" w:customStyle="1" w:styleId="WW-Contenutotabella112111111">
    <w:name w:val="WW-Contenuto tabella112111111"/>
    <w:basedOn w:val="Corpotesto"/>
    <w:rsid w:val="009C34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vbuiarelli</dc:creator>
  <cp:keywords/>
  <dc:description/>
  <cp:lastModifiedBy>ebrizi</cp:lastModifiedBy>
  <cp:revision>3</cp:revision>
  <dcterms:created xsi:type="dcterms:W3CDTF">2016-01-12T16:33:00Z</dcterms:created>
  <dcterms:modified xsi:type="dcterms:W3CDTF">2016-02-26T12:17:00Z</dcterms:modified>
</cp:coreProperties>
</file>